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86997">
      <w:pPr>
        <w:widowControl w:val="0"/>
        <w:overflowPunct w:val="0"/>
        <w:adjustRightInd w:val="0"/>
        <w:snapToGrid w:val="0"/>
        <w:spacing w:line="560" w:lineRule="exact"/>
        <w:ind w:firstLine="0" w:firstLineChars="0"/>
        <w:jc w:val="left"/>
        <w:rPr>
          <w:rFonts w:ascii="Times New Roman" w:hAnsi="Times New Roman" w:eastAsia="黑体"/>
          <w:snapToGrid w:val="0"/>
          <w:color w:val="auto"/>
          <w:sz w:val="32"/>
          <w:szCs w:val="32"/>
        </w:rPr>
      </w:pPr>
      <w:bookmarkStart w:id="0" w:name="_GoBack"/>
      <w:bookmarkEnd w:id="0"/>
      <w:r>
        <w:rPr>
          <w:rFonts w:hint="eastAsia" w:ascii="Times New Roman" w:hAnsi="Times New Roman" w:eastAsia="黑体"/>
          <w:snapToGrid w:val="0"/>
          <w:color w:val="auto"/>
          <w:sz w:val="32"/>
          <w:szCs w:val="32"/>
        </w:rPr>
        <w:t>附</w:t>
      </w:r>
      <w:r>
        <w:rPr>
          <w:rFonts w:hint="eastAsia" w:ascii="Times New Roman" w:hAnsi="Times New Roman" w:eastAsia="黑体"/>
          <w:snapToGrid w:val="0"/>
          <w:color w:val="auto"/>
          <w:sz w:val="32"/>
          <w:szCs w:val="32"/>
          <w:lang w:eastAsia="zh-CN"/>
        </w:rPr>
        <w:t>件</w:t>
      </w:r>
      <w:r>
        <w:rPr>
          <w:rFonts w:ascii="Times New Roman" w:hAnsi="Times New Roman" w:eastAsia="黑体"/>
          <w:snapToGrid w:val="0"/>
          <w:color w:val="auto"/>
          <w:sz w:val="32"/>
          <w:szCs w:val="32"/>
        </w:rPr>
        <w:t>1</w:t>
      </w:r>
    </w:p>
    <w:p w14:paraId="2DDB1C7B">
      <w:pPr>
        <w:pStyle w:val="2"/>
        <w:topLinePunct w:val="0"/>
        <w:adjustRightInd w:val="0"/>
        <w:snapToGrid w:val="0"/>
        <w:spacing w:after="0" w:line="560" w:lineRule="exact"/>
        <w:ind w:left="0" w:leftChars="0"/>
        <w:rPr>
          <w:color w:val="auto"/>
        </w:rPr>
      </w:pPr>
    </w:p>
    <w:p w14:paraId="1010BCB1">
      <w:pPr>
        <w:pStyle w:val="3"/>
        <w:overflowPunct w:val="0"/>
        <w:topLinePunct w:val="0"/>
        <w:adjustRightInd w:val="0"/>
        <w:snapToGrid w:val="0"/>
        <w:spacing w:after="0" w:line="560" w:lineRule="exact"/>
        <w:jc w:val="center"/>
        <w:rPr>
          <w:rFonts w:hint="eastAsia" w:ascii="Times New Roman" w:hAnsi="Times New Roman" w:eastAsia="方正小标宋简体"/>
          <w:snapToGrid w:val="0"/>
          <w:color w:val="auto"/>
          <w:sz w:val="44"/>
          <w:szCs w:val="44"/>
        </w:rPr>
      </w:pPr>
      <w:r>
        <w:rPr>
          <w:rFonts w:ascii="Times New Roman" w:hAnsi="Times New Roman" w:eastAsia="方正小标宋简体"/>
          <w:snapToGrid w:val="0"/>
          <w:color w:val="auto"/>
          <w:sz w:val="44"/>
          <w:szCs w:val="44"/>
        </w:rPr>
        <w:t>检验检测机构资质认定事项清单</w:t>
      </w:r>
    </w:p>
    <w:p w14:paraId="317443CF">
      <w:pPr>
        <w:overflowPunct w:val="0"/>
        <w:adjustRightInd w:val="0"/>
        <w:snapToGrid w:val="0"/>
        <w:spacing w:line="560" w:lineRule="exact"/>
        <w:ind w:firstLine="0" w:firstLineChars="0"/>
        <w:rPr>
          <w:rFonts w:ascii="Times New Roman" w:hAnsi="Times New Roman" w:eastAsia="仿宋_GB2312" w:cs="仿宋_GB2312"/>
          <w:snapToGrid w:val="0"/>
          <w:color w:val="auto"/>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769"/>
        <w:gridCol w:w="2190"/>
        <w:gridCol w:w="5461"/>
      </w:tblGrid>
      <w:tr w14:paraId="77DA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tblHeader/>
          <w:jc w:val="center"/>
        </w:trPr>
        <w:tc>
          <w:tcPr>
            <w:tcW w:w="811" w:type="dxa"/>
            <w:noWrap w:val="0"/>
            <w:vAlign w:val="center"/>
          </w:tcPr>
          <w:p w14:paraId="518718FD">
            <w:pPr>
              <w:pStyle w:val="6"/>
              <w:overflowPunct w:val="0"/>
              <w:adjustRightInd w:val="0"/>
              <w:snapToGrid w:val="0"/>
              <w:spacing w:line="320" w:lineRule="exact"/>
              <w:rPr>
                <w:rFonts w:hint="eastAsia" w:ascii="黑体" w:hAnsi="黑体" w:eastAsia="黑体" w:cs="黑体"/>
                <w:snapToGrid w:val="0"/>
                <w:color w:val="auto"/>
              </w:rPr>
            </w:pPr>
            <w:r>
              <w:rPr>
                <w:rFonts w:hint="eastAsia" w:ascii="黑体" w:hAnsi="黑体" w:eastAsia="黑体" w:cs="黑体"/>
                <w:snapToGrid w:val="0"/>
                <w:color w:val="auto"/>
              </w:rPr>
              <w:t>序号</w:t>
            </w:r>
          </w:p>
        </w:tc>
        <w:tc>
          <w:tcPr>
            <w:tcW w:w="2309" w:type="dxa"/>
            <w:noWrap w:val="0"/>
            <w:vAlign w:val="center"/>
          </w:tcPr>
          <w:p w14:paraId="368BC6FE">
            <w:pPr>
              <w:pStyle w:val="6"/>
              <w:overflowPunct w:val="0"/>
              <w:adjustRightInd w:val="0"/>
              <w:snapToGrid w:val="0"/>
              <w:spacing w:line="320" w:lineRule="exact"/>
              <w:rPr>
                <w:rFonts w:hint="eastAsia" w:ascii="黑体" w:hAnsi="黑体" w:eastAsia="黑体" w:cs="黑体"/>
                <w:snapToGrid w:val="0"/>
                <w:color w:val="auto"/>
              </w:rPr>
            </w:pPr>
            <w:r>
              <w:rPr>
                <w:rFonts w:hint="eastAsia" w:ascii="黑体" w:hAnsi="黑体" w:eastAsia="黑体" w:cs="黑体"/>
                <w:snapToGrid w:val="0"/>
                <w:color w:val="auto"/>
              </w:rPr>
              <w:t>领域</w:t>
            </w:r>
          </w:p>
        </w:tc>
        <w:tc>
          <w:tcPr>
            <w:tcW w:w="5758" w:type="dxa"/>
            <w:noWrap w:val="0"/>
            <w:vAlign w:val="center"/>
          </w:tcPr>
          <w:p w14:paraId="47FA01A2">
            <w:pPr>
              <w:pStyle w:val="6"/>
              <w:overflowPunct w:val="0"/>
              <w:adjustRightInd w:val="0"/>
              <w:snapToGrid w:val="0"/>
              <w:spacing w:line="320" w:lineRule="exact"/>
              <w:rPr>
                <w:rFonts w:hint="eastAsia" w:ascii="黑体" w:hAnsi="黑体" w:eastAsia="黑体" w:cs="黑体"/>
                <w:snapToGrid w:val="0"/>
                <w:color w:val="auto"/>
              </w:rPr>
            </w:pPr>
            <w:r>
              <w:rPr>
                <w:rFonts w:hint="eastAsia" w:ascii="黑体" w:hAnsi="黑体" w:eastAsia="黑体" w:cs="黑体"/>
                <w:snapToGrid w:val="0"/>
                <w:color w:val="auto"/>
              </w:rPr>
              <w:t>法律法规依据</w:t>
            </w:r>
          </w:p>
        </w:tc>
      </w:tr>
      <w:tr w14:paraId="2269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3" w:hRule="atLeast"/>
          <w:jc w:val="center"/>
        </w:trPr>
        <w:tc>
          <w:tcPr>
            <w:tcW w:w="811" w:type="dxa"/>
            <w:noWrap w:val="0"/>
            <w:vAlign w:val="center"/>
          </w:tcPr>
          <w:p w14:paraId="4AC883A4">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1</w:t>
            </w:r>
          </w:p>
        </w:tc>
        <w:tc>
          <w:tcPr>
            <w:tcW w:w="2309" w:type="dxa"/>
            <w:noWrap w:val="0"/>
            <w:vAlign w:val="center"/>
          </w:tcPr>
          <w:p w14:paraId="74CE3938">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产品质量检验</w:t>
            </w:r>
          </w:p>
        </w:tc>
        <w:tc>
          <w:tcPr>
            <w:tcW w:w="5758" w:type="dxa"/>
            <w:noWrap w:val="0"/>
            <w:vAlign w:val="center"/>
          </w:tcPr>
          <w:p w14:paraId="49361539">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《中华人民共和国产品质量法》</w:t>
            </w:r>
          </w:p>
          <w:p w14:paraId="08065A3C">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《中华人民共和国计量法》</w:t>
            </w:r>
          </w:p>
          <w:p w14:paraId="60A15BC8">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《中华人民共和国计量法实施细则》</w:t>
            </w:r>
          </w:p>
        </w:tc>
      </w:tr>
      <w:tr w14:paraId="4B52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3" w:hRule="atLeast"/>
          <w:jc w:val="center"/>
        </w:trPr>
        <w:tc>
          <w:tcPr>
            <w:tcW w:w="811" w:type="dxa"/>
            <w:noWrap w:val="0"/>
            <w:vAlign w:val="center"/>
          </w:tcPr>
          <w:p w14:paraId="4CCC423F">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2</w:t>
            </w:r>
          </w:p>
        </w:tc>
        <w:tc>
          <w:tcPr>
            <w:tcW w:w="2309" w:type="dxa"/>
            <w:noWrap w:val="0"/>
            <w:vAlign w:val="center"/>
          </w:tcPr>
          <w:p w14:paraId="444FB258">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食品检验</w:t>
            </w:r>
          </w:p>
        </w:tc>
        <w:tc>
          <w:tcPr>
            <w:tcW w:w="5758" w:type="dxa"/>
            <w:noWrap w:val="0"/>
            <w:vAlign w:val="center"/>
          </w:tcPr>
          <w:p w14:paraId="0C7CAF6D">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《中华人民共和国食品安全法》</w:t>
            </w:r>
          </w:p>
          <w:p w14:paraId="0F255895">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《中华人民共和国认证认可条例》</w:t>
            </w:r>
          </w:p>
        </w:tc>
      </w:tr>
      <w:tr w14:paraId="54CF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3" w:hRule="atLeast"/>
          <w:jc w:val="center"/>
        </w:trPr>
        <w:tc>
          <w:tcPr>
            <w:tcW w:w="811" w:type="dxa"/>
            <w:noWrap w:val="0"/>
            <w:vAlign w:val="center"/>
          </w:tcPr>
          <w:p w14:paraId="3701634B">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3</w:t>
            </w:r>
          </w:p>
        </w:tc>
        <w:tc>
          <w:tcPr>
            <w:tcW w:w="2309" w:type="dxa"/>
            <w:noWrap w:val="0"/>
            <w:vAlign w:val="center"/>
          </w:tcPr>
          <w:p w14:paraId="70D44A7B">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农产品质量检验</w:t>
            </w:r>
          </w:p>
        </w:tc>
        <w:tc>
          <w:tcPr>
            <w:tcW w:w="5758" w:type="dxa"/>
            <w:noWrap w:val="0"/>
            <w:vAlign w:val="center"/>
          </w:tcPr>
          <w:p w14:paraId="59DC47E9">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《中华人民共和国农产品质量安全法》</w:t>
            </w:r>
          </w:p>
          <w:p w14:paraId="2C3D5396">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《中华人民共和国认证认可条例》</w:t>
            </w:r>
          </w:p>
        </w:tc>
      </w:tr>
      <w:tr w14:paraId="0C08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535" w:hRule="atLeast"/>
          <w:jc w:val="center"/>
        </w:trPr>
        <w:tc>
          <w:tcPr>
            <w:tcW w:w="811" w:type="dxa"/>
            <w:noWrap w:val="0"/>
            <w:vAlign w:val="center"/>
          </w:tcPr>
          <w:p w14:paraId="3543B41F">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4</w:t>
            </w:r>
          </w:p>
        </w:tc>
        <w:tc>
          <w:tcPr>
            <w:tcW w:w="2309" w:type="dxa"/>
            <w:noWrap w:val="0"/>
            <w:vAlign w:val="center"/>
          </w:tcPr>
          <w:p w14:paraId="457DFF3C">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机动车排放、</w:t>
            </w:r>
          </w:p>
          <w:p w14:paraId="500D1419">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安全技术检验</w:t>
            </w:r>
          </w:p>
        </w:tc>
        <w:tc>
          <w:tcPr>
            <w:tcW w:w="5758" w:type="dxa"/>
            <w:noWrap w:val="0"/>
            <w:vAlign w:val="center"/>
          </w:tcPr>
          <w:p w14:paraId="53F17911">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《中华人民共和国大气污染防治法》</w:t>
            </w:r>
          </w:p>
          <w:p w14:paraId="23640C4D">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《中华人民共和国道路交通安全法实施条例》</w:t>
            </w:r>
          </w:p>
          <w:p w14:paraId="05F381D4">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《中华人民共和国计量法》</w:t>
            </w:r>
          </w:p>
          <w:p w14:paraId="3B2C8E94">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《中华人民共和国计量法实施细则》</w:t>
            </w:r>
          </w:p>
        </w:tc>
      </w:tr>
      <w:tr w14:paraId="07C9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3" w:hRule="atLeast"/>
          <w:jc w:val="center"/>
        </w:trPr>
        <w:tc>
          <w:tcPr>
            <w:tcW w:w="811" w:type="dxa"/>
            <w:noWrap w:val="0"/>
            <w:vAlign w:val="center"/>
          </w:tcPr>
          <w:p w14:paraId="6255FE48">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5</w:t>
            </w:r>
          </w:p>
        </w:tc>
        <w:tc>
          <w:tcPr>
            <w:tcW w:w="2309" w:type="dxa"/>
            <w:noWrap w:val="0"/>
            <w:vAlign w:val="center"/>
          </w:tcPr>
          <w:p w14:paraId="6B926DE6">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医疗器械检验</w:t>
            </w:r>
          </w:p>
        </w:tc>
        <w:tc>
          <w:tcPr>
            <w:tcW w:w="5758" w:type="dxa"/>
            <w:noWrap w:val="0"/>
            <w:vAlign w:val="center"/>
          </w:tcPr>
          <w:p w14:paraId="4DFE0F24">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《医疗器械监督管理条例》</w:t>
            </w:r>
          </w:p>
          <w:p w14:paraId="6708C3B4">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《中华人民共和国认证认可条例》</w:t>
            </w:r>
          </w:p>
        </w:tc>
      </w:tr>
      <w:tr w14:paraId="6E28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3" w:hRule="atLeast"/>
          <w:jc w:val="center"/>
        </w:trPr>
        <w:tc>
          <w:tcPr>
            <w:tcW w:w="811" w:type="dxa"/>
            <w:noWrap w:val="0"/>
            <w:vAlign w:val="center"/>
          </w:tcPr>
          <w:p w14:paraId="79204E1E">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6</w:t>
            </w:r>
          </w:p>
        </w:tc>
        <w:tc>
          <w:tcPr>
            <w:tcW w:w="2309" w:type="dxa"/>
            <w:noWrap w:val="0"/>
            <w:vAlign w:val="center"/>
          </w:tcPr>
          <w:p w14:paraId="15384836">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化妆品检验</w:t>
            </w:r>
          </w:p>
        </w:tc>
        <w:tc>
          <w:tcPr>
            <w:tcW w:w="5758" w:type="dxa"/>
            <w:noWrap w:val="0"/>
            <w:vAlign w:val="center"/>
          </w:tcPr>
          <w:p w14:paraId="22E2873E">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《化妆品监督管理条例》</w:t>
            </w:r>
          </w:p>
          <w:p w14:paraId="4E92D832">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《中华人民共和国认证认可条例》</w:t>
            </w:r>
          </w:p>
        </w:tc>
      </w:tr>
      <w:tr w14:paraId="0E67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729" w:hRule="atLeast"/>
          <w:jc w:val="center"/>
        </w:trPr>
        <w:tc>
          <w:tcPr>
            <w:tcW w:w="811" w:type="dxa"/>
            <w:noWrap w:val="0"/>
            <w:vAlign w:val="center"/>
          </w:tcPr>
          <w:p w14:paraId="353557FF">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7</w:t>
            </w:r>
          </w:p>
        </w:tc>
        <w:tc>
          <w:tcPr>
            <w:tcW w:w="2309" w:type="dxa"/>
            <w:noWrap w:val="0"/>
            <w:vAlign w:val="center"/>
          </w:tcPr>
          <w:p w14:paraId="782CC197">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司法鉴定检测</w:t>
            </w:r>
          </w:p>
        </w:tc>
        <w:tc>
          <w:tcPr>
            <w:tcW w:w="5758" w:type="dxa"/>
            <w:noWrap w:val="0"/>
            <w:vAlign w:val="center"/>
          </w:tcPr>
          <w:p w14:paraId="7A115919">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《中华人民共和国计量法》</w:t>
            </w:r>
          </w:p>
          <w:p w14:paraId="026FB71B">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《中华人民共和国计量法实施细则》</w:t>
            </w:r>
          </w:p>
          <w:p w14:paraId="281003C9">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《全国人民代表大会常务委员会关于司法鉴定管理问题的决定》</w:t>
            </w:r>
          </w:p>
          <w:p w14:paraId="709060B6">
            <w:pPr>
              <w:pStyle w:val="6"/>
              <w:overflowPunct w:val="0"/>
              <w:adjustRightInd w:val="0"/>
              <w:snapToGrid w:val="0"/>
              <w:spacing w:line="360" w:lineRule="exact"/>
              <w:jc w:val="both"/>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注：根据《全国人民代表大会常务委员会关于司法鉴定管理问题的决定》，司法鉴定检测实验室应当通过计量认证（资质认定）或实验室认可。</w:t>
            </w:r>
          </w:p>
        </w:tc>
      </w:tr>
      <w:tr w14:paraId="5F5D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89" w:hRule="atLeast"/>
          <w:jc w:val="center"/>
        </w:trPr>
        <w:tc>
          <w:tcPr>
            <w:tcW w:w="811" w:type="dxa"/>
            <w:noWrap w:val="0"/>
            <w:vAlign w:val="center"/>
          </w:tcPr>
          <w:p w14:paraId="43DC8F3A">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8</w:t>
            </w:r>
          </w:p>
        </w:tc>
        <w:tc>
          <w:tcPr>
            <w:tcW w:w="2309" w:type="dxa"/>
            <w:noWrap w:val="0"/>
            <w:vAlign w:val="center"/>
          </w:tcPr>
          <w:p w14:paraId="6D6D8F2A">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生态环境监测</w:t>
            </w:r>
          </w:p>
        </w:tc>
        <w:tc>
          <w:tcPr>
            <w:tcW w:w="5758" w:type="dxa"/>
            <w:noWrap w:val="0"/>
            <w:vAlign w:val="center"/>
          </w:tcPr>
          <w:p w14:paraId="0DECCF1C">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《生态环境监测条例》</w:t>
            </w:r>
          </w:p>
          <w:p w14:paraId="6740EFE7">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《中华人民共和国认证认可条例》</w:t>
            </w:r>
          </w:p>
        </w:tc>
      </w:tr>
      <w:tr w14:paraId="5280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604" w:hRule="atLeast"/>
          <w:jc w:val="center"/>
        </w:trPr>
        <w:tc>
          <w:tcPr>
            <w:tcW w:w="811" w:type="dxa"/>
            <w:noWrap w:val="0"/>
            <w:vAlign w:val="center"/>
          </w:tcPr>
          <w:p w14:paraId="321E4283">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9</w:t>
            </w:r>
          </w:p>
        </w:tc>
        <w:tc>
          <w:tcPr>
            <w:tcW w:w="2309" w:type="dxa"/>
            <w:noWrap w:val="0"/>
            <w:vAlign w:val="center"/>
          </w:tcPr>
          <w:p w14:paraId="00737F7F">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林</w:t>
            </w:r>
            <w:r>
              <w:rPr>
                <w:rFonts w:hint="eastAsia" w:ascii="Times New Roman" w:hAnsi="Times New Roman" w:eastAsia="仿宋_GB2312" w:cs="仿宋_GB2312"/>
                <w:snapToGrid w:val="0"/>
                <w:color w:val="auto"/>
                <w:lang w:eastAsia="zh-CN"/>
              </w:rPr>
              <w:t>业</w:t>
            </w:r>
            <w:r>
              <w:rPr>
                <w:rFonts w:hint="eastAsia" w:ascii="Times New Roman" w:hAnsi="Times New Roman" w:eastAsia="仿宋_GB2312" w:cs="仿宋_GB2312"/>
                <w:snapToGrid w:val="0"/>
                <w:color w:val="auto"/>
              </w:rPr>
              <w:t>产品</w:t>
            </w:r>
            <w:r>
              <w:rPr>
                <w:rFonts w:hint="eastAsia" w:ascii="Times New Roman" w:hAnsi="Times New Roman" w:eastAsia="仿宋_GB2312" w:cs="仿宋_GB2312"/>
                <w:snapToGrid w:val="0"/>
                <w:color w:val="auto"/>
                <w:lang w:eastAsia="zh-CN"/>
              </w:rPr>
              <w:t>质量</w:t>
            </w:r>
            <w:r>
              <w:rPr>
                <w:rFonts w:hint="eastAsia" w:ascii="Times New Roman" w:hAnsi="Times New Roman" w:eastAsia="仿宋_GB2312" w:cs="仿宋_GB2312"/>
                <w:snapToGrid w:val="0"/>
                <w:color w:val="auto"/>
              </w:rPr>
              <w:t>检验</w:t>
            </w:r>
          </w:p>
        </w:tc>
        <w:tc>
          <w:tcPr>
            <w:tcW w:w="5758" w:type="dxa"/>
            <w:noWrap w:val="0"/>
            <w:vAlign w:val="center"/>
          </w:tcPr>
          <w:p w14:paraId="17C1B5CF">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《中华人民共和国认证认可条例》</w:t>
            </w:r>
          </w:p>
          <w:p w14:paraId="5D231735">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《国务院关于取消和下放一批行政许可事项的决定》（国发〔2020〕13号）“新增或续期的林业质检机构直接向市场监管部门申请办理有关许可”</w:t>
            </w:r>
          </w:p>
        </w:tc>
      </w:tr>
      <w:tr w14:paraId="5660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994" w:hRule="atLeast"/>
          <w:jc w:val="center"/>
        </w:trPr>
        <w:tc>
          <w:tcPr>
            <w:tcW w:w="811" w:type="dxa"/>
            <w:noWrap w:val="0"/>
            <w:vAlign w:val="center"/>
          </w:tcPr>
          <w:p w14:paraId="7C6FA39C">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10</w:t>
            </w:r>
          </w:p>
        </w:tc>
        <w:tc>
          <w:tcPr>
            <w:tcW w:w="2309" w:type="dxa"/>
            <w:noWrap w:val="0"/>
            <w:vAlign w:val="center"/>
          </w:tcPr>
          <w:p w14:paraId="03E9A181">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林木种子、</w:t>
            </w:r>
          </w:p>
          <w:p w14:paraId="305A429A">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草种质量检验</w:t>
            </w:r>
          </w:p>
        </w:tc>
        <w:tc>
          <w:tcPr>
            <w:tcW w:w="5758" w:type="dxa"/>
            <w:noWrap w:val="0"/>
            <w:vAlign w:val="center"/>
          </w:tcPr>
          <w:p w14:paraId="1A6F3C92">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《中华人民共和国认证认可条例》</w:t>
            </w:r>
          </w:p>
          <w:p w14:paraId="3AA0E282">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《国务院关于取消和下放一批行政许可事项的决定》（国发〔2020〕13号）</w:t>
            </w:r>
            <w:r>
              <w:rPr>
                <w:rFonts w:hint="eastAsia" w:ascii="Times New Roman" w:hAnsi="Times New Roman" w:eastAsia="仿宋_GB2312" w:cs="仿宋_GB2312"/>
                <w:snapToGrid w:val="0"/>
                <w:color w:val="auto"/>
                <w:kern w:val="2"/>
                <w:sz w:val="24"/>
                <w:lang w:eastAsia="zh-CN"/>
              </w:rPr>
              <w:t>“</w:t>
            </w:r>
            <w:r>
              <w:rPr>
                <w:rFonts w:hint="eastAsia" w:ascii="Times New Roman" w:hAnsi="Times New Roman" w:eastAsia="仿宋_GB2312" w:cs="仿宋_GB2312"/>
                <w:snapToGrid w:val="0"/>
                <w:color w:val="auto"/>
                <w:kern w:val="2"/>
                <w:sz w:val="24"/>
              </w:rPr>
              <w:t>新增或续期的林木种子质量检验机构直接向市场监管部门申请办理有关许可</w:t>
            </w:r>
            <w:r>
              <w:rPr>
                <w:rFonts w:hint="eastAsia" w:ascii="Times New Roman" w:hAnsi="Times New Roman" w:eastAsia="仿宋_GB2312" w:cs="仿宋_GB2312"/>
                <w:snapToGrid w:val="0"/>
                <w:color w:val="auto"/>
                <w:kern w:val="2"/>
                <w:sz w:val="24"/>
                <w:lang w:eastAsia="zh-CN"/>
              </w:rPr>
              <w:t>”，“新增草种质量检验机构直接向市场监管部门申请办理有关许可”</w:t>
            </w:r>
          </w:p>
        </w:tc>
      </w:tr>
      <w:tr w14:paraId="517C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379" w:hRule="atLeast"/>
          <w:jc w:val="center"/>
        </w:trPr>
        <w:tc>
          <w:tcPr>
            <w:tcW w:w="811" w:type="dxa"/>
            <w:noWrap w:val="0"/>
            <w:vAlign w:val="center"/>
          </w:tcPr>
          <w:p w14:paraId="36EDB41D">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11</w:t>
            </w:r>
          </w:p>
        </w:tc>
        <w:tc>
          <w:tcPr>
            <w:tcW w:w="2309" w:type="dxa"/>
            <w:noWrap w:val="0"/>
            <w:vAlign w:val="center"/>
          </w:tcPr>
          <w:p w14:paraId="76E279EC">
            <w:pPr>
              <w:pStyle w:val="6"/>
              <w:overflowPunct w:val="0"/>
              <w:adjustRightInd w:val="0"/>
              <w:snapToGrid w:val="0"/>
              <w:spacing w:line="320" w:lineRule="exact"/>
              <w:rPr>
                <w:rFonts w:hint="eastAsia" w:ascii="Times New Roman" w:hAnsi="Times New Roman" w:eastAsia="仿宋_GB2312" w:cs="仿宋_GB2312"/>
                <w:snapToGrid w:val="0"/>
                <w:color w:val="auto"/>
              </w:rPr>
            </w:pPr>
            <w:r>
              <w:rPr>
                <w:rFonts w:hint="eastAsia" w:ascii="Times New Roman" w:hAnsi="Times New Roman" w:eastAsia="仿宋_GB2312" w:cs="仿宋_GB2312"/>
                <w:snapToGrid w:val="0"/>
                <w:color w:val="auto"/>
              </w:rPr>
              <w:t>进出口商品检验</w:t>
            </w:r>
          </w:p>
        </w:tc>
        <w:tc>
          <w:tcPr>
            <w:tcW w:w="5758" w:type="dxa"/>
            <w:noWrap w:val="0"/>
            <w:vAlign w:val="center"/>
          </w:tcPr>
          <w:p w14:paraId="2177116E">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《中华人民共和国认证认可条例》</w:t>
            </w:r>
          </w:p>
          <w:p w14:paraId="1DC25455">
            <w:pPr>
              <w:overflowPunct w:val="0"/>
              <w:autoSpaceDE w:val="0"/>
              <w:autoSpaceDN w:val="0"/>
              <w:adjustRightInd w:val="0"/>
              <w:snapToGrid w:val="0"/>
              <w:spacing w:line="360" w:lineRule="exact"/>
              <w:ind w:firstLine="0" w:firstLineChars="0"/>
              <w:rPr>
                <w:rFonts w:hint="eastAsia" w:ascii="Times New Roman" w:hAnsi="Times New Roman" w:eastAsia="仿宋_GB2312" w:cs="仿宋_GB2312"/>
                <w:snapToGrid w:val="0"/>
                <w:color w:val="auto"/>
                <w:kern w:val="2"/>
                <w:sz w:val="24"/>
              </w:rPr>
            </w:pPr>
            <w:r>
              <w:rPr>
                <w:rFonts w:hint="eastAsia" w:ascii="Times New Roman" w:hAnsi="Times New Roman" w:eastAsia="仿宋_GB2312" w:cs="仿宋_GB2312"/>
                <w:snapToGrid w:val="0"/>
                <w:color w:val="auto"/>
                <w:kern w:val="2"/>
                <w:sz w:val="24"/>
              </w:rPr>
              <w:t>《国务院关于深化“证照分离”改革进一步激发市场主体发展活力的通知》（国发〔2021〕7号）“新增、变更业务范围的检验检测机构（进出口商品检验领域）或续期的进出口商品检验机构直接向市场监管部门申请办理有关许可”</w:t>
            </w:r>
          </w:p>
        </w:tc>
      </w:tr>
    </w:tbl>
    <w:p w14:paraId="2A5270C8">
      <w:pPr>
        <w:rPr>
          <w:color w:val="auto"/>
        </w:rPr>
      </w:pPr>
    </w:p>
    <w:p w14:paraId="2F60E22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680E1E"/>
    <w:rsid w:val="73416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ind w:firstLine="200" w:firstLineChars="200"/>
      <w:jc w:val="both"/>
    </w:pPr>
    <w:rPr>
      <w:rFonts w:ascii="宋体" w:hAnsi="宋体" w:eastAsia="仿宋_GB2312" w:cs="Times New Roman"/>
      <w:color w:val="000000"/>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overflowPunct w:val="0"/>
      <w:topLinePunct/>
      <w:spacing w:after="120" w:line="480" w:lineRule="auto"/>
      <w:ind w:left="420" w:leftChars="200" w:firstLine="0" w:firstLineChars="0"/>
    </w:pPr>
    <w:rPr>
      <w:rFonts w:ascii="Times New Roman" w:hAnsi="Times New Roman" w:cs="Times New Roman"/>
      <w:spacing w:val="0"/>
      <w:kern w:val="2"/>
      <w:szCs w:val="32"/>
    </w:rPr>
  </w:style>
  <w:style w:type="paragraph" w:styleId="3">
    <w:name w:val="Body Text"/>
    <w:basedOn w:val="1"/>
    <w:next w:val="1"/>
    <w:unhideWhenUsed/>
    <w:qFormat/>
    <w:uiPriority w:val="99"/>
    <w:pPr>
      <w:overflowPunct w:val="0"/>
      <w:topLinePunct/>
      <w:spacing w:after="120"/>
      <w:ind w:firstLine="0" w:firstLineChars="0"/>
    </w:pPr>
    <w:rPr>
      <w:rFonts w:ascii="Times New Roman" w:hAnsi="Times New Roman" w:cs="Times New Roman"/>
      <w:spacing w:val="0"/>
      <w:kern w:val="2"/>
      <w:szCs w:val="32"/>
    </w:rPr>
  </w:style>
  <w:style w:type="paragraph" w:customStyle="1" w:styleId="6">
    <w:name w:val="列表段落1"/>
    <w:next w:val="1"/>
    <w:qFormat/>
    <w:uiPriority w:val="34"/>
    <w:pPr>
      <w:widowControl w:val="0"/>
      <w:spacing w:line="560" w:lineRule="exact"/>
      <w:jc w:val="center"/>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786</Words>
  <Characters>799</Characters>
  <Lines>0</Lines>
  <Paragraphs>0</Paragraphs>
  <TotalTime>0</TotalTime>
  <ScaleCrop>false</ScaleCrop>
  <LinksUpToDate>false</LinksUpToDate>
  <CharactersWithSpaces>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2026-04-23T06:25:00Z</dcterms:created>
  <dc:creator>Administrator</dc:creator>
  <cp:lastModifiedBy>格子涂过的夏天♀</cp:lastModifiedBy>
  <dcterms:modified xsi:type="dcterms:W3CDTF">2026-07-02T03:24:36Z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eyJoZGlkIjoiNWVjYWE5OTcxNTgyYjAzYzU3ODhiODZmZjBlZDVhMTYiLCJ1c2VySWQiOiIxMjIxODc1Nzk1In0=</vt:lpwstr>
  </property>
  <property fmtid="{D5CDD505-2E9C-101B-9397-08002B2CF9AE}" pid="4" name="ICV">
    <vt:lpwstr>657D0982BE2E4673A336798C632CD85E_13</vt:lpwstr>
  </property>
</Properties>
</file>